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Стоматология хирургическая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06:04 МСК · База обновлена: 22.07.2026, 19:03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Стоматология хирургическая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 27 лет обратился к врачу-стоматологу.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невозможность закрыть рот,</w:t>
      </w:r>
    </w:p>
    <w:p>
      <w:pPr>
        <w:spacing w:after="58"/>
      </w:pPr>
      <w:r>
        <w:rPr>
          <w:b w:val="0"/>
          <w:i w:val="0"/>
        </w:rPr>
        <w:t>* слюнотечение,</w:t>
      </w:r>
    </w:p>
    <w:p>
      <w:pPr>
        <w:spacing w:after="58"/>
      </w:pPr>
      <w:r>
        <w:rPr>
          <w:b w:val="0"/>
          <w:i w:val="0"/>
        </w:rPr>
        <w:t>* боль в области ВНЧС с двух сторон,</w:t>
      </w:r>
    </w:p>
    <w:p>
      <w:pPr>
        <w:spacing w:after="58"/>
      </w:pPr>
      <w:r>
        <w:rPr>
          <w:b w:val="0"/>
          <w:i w:val="0"/>
        </w:rPr>
        <w:t>* чувство страха.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* Во время приема пищи пациент чрезмерно широко открыл рот (откусывал яблоко), после чего услышал два сильных щелчка в области правого и левого уха.</w:t>
      </w:r>
    </w:p>
    <w:p>
      <w:pPr>
        <w:spacing w:after="58"/>
      </w:pPr>
      <w:r>
        <w:rPr>
          <w:b w:val="0"/>
          <w:i w:val="0"/>
        </w:rPr>
        <w:t>* Самостоятельно закрыть рот у пациента не получилось.</w:t>
      </w:r>
    </w:p>
    <w:p>
      <w:pPr>
        <w:spacing w:after="58"/>
      </w:pPr>
      <w:r>
        <w:rPr>
          <w:b w:val="0"/>
          <w:i w:val="0"/>
        </w:rPr>
        <w:t>* Ранее подобных явлений не отмечал.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Рос и развивался в соответствии с возрастом и полом.</w:t>
      </w:r>
    </w:p>
    <w:p>
      <w:pPr>
        <w:spacing w:after="58"/>
      </w:pPr>
      <w:r>
        <w:rPr>
          <w:b w:val="0"/>
          <w:i w:val="0"/>
        </w:rPr>
        <w:t>* Хронические заболевания: отрицает.</w:t>
      </w:r>
    </w:p>
    <w:p>
      <w:pPr>
        <w:spacing w:after="58"/>
      </w:pPr>
      <w:r>
        <w:rPr>
          <w:b w:val="0"/>
          <w:i w:val="0"/>
        </w:rPr>
        <w:t>* Пациент активно занимается силовыми видами спорта, однако частые физические травмы отрицает.</w:t>
      </w:r>
    </w:p>
    <w:p>
      <w:pPr>
        <w:spacing w:after="58"/>
      </w:pPr>
      <w:r>
        <w:rPr>
          <w:b w:val="0"/>
          <w:i w:val="0"/>
        </w:rPr>
        <w:t>* Со слов пациента, часто принимает стероидные препараты.</w:t>
      </w:r>
    </w:p>
    <w:p>
      <w:pPr>
        <w:spacing w:after="58"/>
      </w:pPr>
      <w:r>
        <w:rPr>
          <w:b w:val="0"/>
          <w:i w:val="0"/>
        </w:rPr>
        <w:t>* Генетические заболевания: отрицает.</w:t>
      </w:r>
    </w:p>
    <w:p>
      <w:pPr>
        <w:spacing w:after="58"/>
      </w:pPr>
      <w:r>
        <w:rPr>
          <w:b w:val="0"/>
          <w:i w:val="0"/>
        </w:rPr>
        <w:t>* Аллергические реакции: отрицает.</w:t>
      </w:r>
    </w:p>
    <w:p>
      <w:pPr>
        <w:spacing w:after="58"/>
      </w:pPr>
      <w:r>
        <w:rPr>
          <w:b w:val="0"/>
          <w:i w:val="0"/>
        </w:rPr>
        <w:t>* Эпидемиологический анамнез: ВИЧ, гепатит, сифилис – отрицает.</w:t>
      </w:r>
    </w:p>
    <w:p>
      <w:pPr>
        <w:spacing w:after="58"/>
      </w:pPr>
      <w:r>
        <w:rPr>
          <w:b w:val="0"/>
          <w:i w:val="0"/>
        </w:rPr>
        <w:t>* На эндемичные территории не выезжал.</w:t>
      </w:r>
    </w:p>
    <w:p>
      <w:pPr>
        <w:spacing w:after="58"/>
      </w:pPr>
      <w:r>
        <w:rPr>
          <w:b w:val="0"/>
          <w:i w:val="0"/>
        </w:rPr>
        <w:t>* Контакт с инфекционными больными отрицает.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*Общее состояние:* удовлетворительное. Лимфоузлы не увеличены, безболезненны при пальпации, подвижны.</w:t>
      </w:r>
    </w:p>
    <w:p>
      <w:pPr>
        <w:spacing w:after="58"/>
      </w:pPr>
      <w:r>
        <w:rPr>
          <w:b w:val="0"/>
          <w:i w:val="0"/>
        </w:rPr>
        <w:t>*Объективно:* Конфигурация лица не изменена. Рот открыт на 5 см. Движение нижней челюсти невозможно. При пальпации в области ВНЧС справа и слева головки мыщелковых отростков не определяются. Пальпация безболезненная.</w:t>
      </w:r>
    </w:p>
    <w:p>
      <w:pPr>
        <w:spacing w:after="58"/>
      </w:pPr>
      <w:r>
        <w:rPr>
          <w:b w:val="0"/>
          <w:i w:val="0"/>
        </w:rPr>
        <w:t>*В полости рта:* слизистая оболочка бледно-розового цвета, умеренно увлажнена, без видимых патологических изменений.</w:t>
      </w:r>
    </w:p>
    <w:p>
      <w:pPr>
        <w:spacing w:after="58"/>
      </w:pPr>
      <w:r>
        <w:rPr>
          <w:b w:val="0"/>
          <w:i w:val="0"/>
        </w:rPr>
        <w:t>*Зубная формула:*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843"/>
        <w:gridCol w:w="843"/>
        <w:gridCol w:w="843"/>
        <w:gridCol w:w="843"/>
        <w:gridCol w:w="843"/>
        <w:gridCol w:w="843"/>
        <w:gridCol w:w="843"/>
        <w:gridCol w:w="843"/>
        <w:gridCol w:w="843"/>
        <w:gridCol w:w="843"/>
        <w:gridCol w:w="843"/>
        <w:gridCol w:w="843"/>
      </w:tblGrid>
      <w:tr>
        <w:trPr>
          <w:tblHeader w:val="true"/>
        </w:trPr>
        <w:tc>
          <w:tcPr>
            <w:tcW w:type="dxa" w:w="843"/>
          </w:tcPr>
          <w:p>
            <w:r>
              <w:rPr>
                <w:b/>
                <w:i w:val="0"/>
              </w:rPr>
              <w:t>О</w:t>
            </w:r>
          </w:p>
        </w:tc>
        <w:tc>
          <w:tcPr>
            <w:tcW w:type="dxa" w:w="843"/>
          </w:tcPr>
          <w:p>
            <w:r>
              <w:rPr>
                <w:b/>
                <w:i w:val="0"/>
              </w:rPr>
              <w:t>П|П</w:t>
            </w:r>
          </w:p>
        </w:tc>
        <w:tc>
          <w:tcPr>
            <w:tcW w:type="dxa" w:w="843"/>
          </w:tcPr>
          <w:p/>
        </w:tc>
        <w:tc>
          <w:tcPr>
            <w:tcW w:type="dxa" w:w="843"/>
          </w:tcPr>
          <w:p>
            <w:r>
              <w:rPr>
                <w:b/>
                <w:i w:val="0"/>
              </w:rPr>
              <w:t>С|</w:t>
            </w:r>
          </w:p>
        </w:tc>
        <w:tc>
          <w:tcPr>
            <w:tcW w:type="dxa" w:w="843"/>
          </w:tcPr>
          <w:p/>
        </w:tc>
        <w:tc>
          <w:tcPr>
            <w:tcW w:type="dxa" w:w="843"/>
          </w:tcPr>
          <w:p>
            <w:r>
              <w:rPr>
                <w:b/>
                <w:i w:val="0"/>
              </w:rPr>
              <w:t>||</w:t>
            </w:r>
          </w:p>
        </w:tc>
        <w:tc>
          <w:tcPr>
            <w:tcW w:type="dxa" w:w="843"/>
          </w:tcPr>
          <w:p/>
        </w:tc>
        <w:tc>
          <w:tcPr>
            <w:tcW w:type="dxa" w:w="843"/>
          </w:tcPr>
          <w:p/>
        </w:tc>
        <w:tc>
          <w:tcPr>
            <w:tcW w:type="dxa" w:w="843"/>
          </w:tcPr>
          <w:p/>
        </w:tc>
        <w:tc>
          <w:tcPr>
            <w:tcW w:type="dxa" w:w="843"/>
          </w:tcPr>
          <w:p>
            <w:r>
              <w:rPr>
                <w:b/>
                <w:i w:val="0"/>
              </w:rPr>
              <w:t>П</w:t>
            </w:r>
          </w:p>
        </w:tc>
        <w:tc>
          <w:tcPr>
            <w:tcW w:type="dxa" w:w="843"/>
          </w:tcPr>
          <w:p>
            <w:r>
              <w:rPr>
                <w:b/>
                <w:i w:val="0"/>
              </w:rPr>
              <w:t>П</w:t>
            </w:r>
          </w:p>
        </w:tc>
        <w:tc>
          <w:tcPr>
            <w:tcW w:type="dxa" w:w="843"/>
          </w:tcPr>
          <w:p>
            <w:r>
              <w:rPr>
                <w:b/>
                <w:i w:val="0"/>
              </w:rPr>
              <w:t>О</w:t>
            </w:r>
          </w:p>
        </w:tc>
      </w:tr>
      <w:tr>
        <w:tc>
          <w:tcPr>
            <w:tcW w:type="dxa" w:w="843"/>
          </w:tcPr>
          <w:p>
            <w:r>
              <w:rPr>
                <w:b w:val="0"/>
                <w:i w:val="0"/>
              </w:rPr>
              <w:t>1.8|1.7</w:t>
            </w:r>
          </w:p>
        </w:tc>
        <w:tc>
          <w:tcPr>
            <w:tcW w:type="dxa" w:w="843"/>
          </w:tcPr>
          <w:p>
            <w:r>
              <w:rPr>
                <w:b w:val="0"/>
                <w:i w:val="0"/>
              </w:rPr>
              <w:t>1.6|1.5</w:t>
            </w:r>
          </w:p>
        </w:tc>
        <w:tc>
          <w:tcPr>
            <w:tcW w:type="dxa" w:w="843"/>
          </w:tcPr>
          <w:p>
            <w:r>
              <w:rPr>
                <w:b w:val="0"/>
                <w:i w:val="0"/>
              </w:rPr>
              <w:t>1.4|1.3</w:t>
            </w:r>
          </w:p>
        </w:tc>
        <w:tc>
          <w:tcPr>
            <w:tcW w:type="dxa" w:w="843"/>
          </w:tcPr>
          <w:p>
            <w:r>
              <w:rPr>
                <w:b w:val="0"/>
                <w:i w:val="0"/>
              </w:rPr>
              <w:t>1.2|1.1</w:t>
            </w:r>
          </w:p>
        </w:tc>
        <w:tc>
          <w:tcPr>
            <w:tcW w:type="dxa" w:w="843"/>
          </w:tcPr>
          <w:p>
            <w:r>
              <w:rPr>
                <w:b w:val="0"/>
                <w:i w:val="0"/>
              </w:rPr>
              <w:t>2.1|2.2</w:t>
            </w:r>
          </w:p>
        </w:tc>
        <w:tc>
          <w:tcPr>
            <w:tcW w:type="dxa" w:w="843"/>
          </w:tcPr>
          <w:p>
            <w:r>
              <w:rPr>
                <w:b w:val="0"/>
                <w:i w:val="0"/>
              </w:rPr>
              <w:t>2.3|2.4</w:t>
            </w:r>
          </w:p>
        </w:tc>
        <w:tc>
          <w:tcPr>
            <w:tcW w:type="dxa" w:w="843"/>
          </w:tcPr>
          <w:p>
            <w:r>
              <w:rPr>
                <w:b w:val="0"/>
                <w:i w:val="0"/>
              </w:rPr>
              <w:t>2.5|2.6|2.7|2.8</w:t>
            </w:r>
          </w:p>
        </w:tc>
        <w:tc>
          <w:tcPr>
            <w:tcW w:type="dxa" w:w="843"/>
          </w:tcPr>
          <w:p>
            <w:r>
              <w:rPr>
                <w:b w:val="0"/>
                <w:i w:val="0"/>
              </w:rPr>
              <w:t>4.8|4.7</w:t>
            </w:r>
          </w:p>
        </w:tc>
        <w:tc>
          <w:tcPr>
            <w:tcW w:type="dxa" w:w="843"/>
          </w:tcPr>
          <w:p>
            <w:r>
              <w:rPr>
                <w:b w:val="0"/>
                <w:i w:val="0"/>
              </w:rPr>
              <w:t>4.6|4.5</w:t>
            </w:r>
          </w:p>
        </w:tc>
        <w:tc>
          <w:tcPr>
            <w:tcW w:type="dxa" w:w="843"/>
          </w:tcPr>
          <w:p>
            <w:r>
              <w:rPr>
                <w:b w:val="0"/>
                <w:i w:val="0"/>
              </w:rPr>
              <w:t>4.4|4.3</w:t>
            </w:r>
          </w:p>
        </w:tc>
        <w:tc>
          <w:tcPr>
            <w:tcW w:type="dxa" w:w="843"/>
          </w:tcPr>
          <w:p>
            <w:r>
              <w:rPr>
                <w:b w:val="0"/>
                <w:i w:val="0"/>
              </w:rPr>
              <w:t>4.2|4.1</w:t>
            </w:r>
          </w:p>
        </w:tc>
        <w:tc>
          <w:tcPr>
            <w:tcW w:type="dxa" w:w="843"/>
          </w:tcPr>
          <w:p>
            <w:r>
              <w:rPr>
                <w:b w:val="0"/>
                <w:i w:val="0"/>
              </w:rPr>
              <w:t>3.1|3.2</w:t>
            </w:r>
          </w:p>
        </w:tc>
      </w:tr>
      <w:tr>
        <w:tc>
          <w:tcPr>
            <w:tcW w:type="dxa" w:w="843"/>
          </w:tcPr>
          <w:p>
            <w:r>
              <w:rPr>
                <w:b w:val="0"/>
                <w:i w:val="0"/>
              </w:rPr>
              <w:t>3.3|3.4</w:t>
            </w:r>
          </w:p>
        </w:tc>
        <w:tc>
          <w:tcPr>
            <w:tcW w:type="dxa" w:w="843"/>
          </w:tcPr>
          <w:p>
            <w:r>
              <w:rPr>
                <w:b w:val="0"/>
                <w:i w:val="0"/>
              </w:rPr>
              <w:t>3.5|3.6</w:t>
            </w:r>
          </w:p>
        </w:tc>
        <w:tc>
          <w:tcPr>
            <w:tcW w:type="dxa" w:w="843"/>
          </w:tcPr>
          <w:p>
            <w:r>
              <w:rPr>
                <w:b w:val="0"/>
                <w:i w:val="0"/>
              </w:rPr>
              <w:t>3.7|3.8</w:t>
            </w:r>
          </w:p>
        </w:tc>
        <w:tc>
          <w:tcPr>
            <w:tcW w:type="dxa" w:w="843"/>
          </w:tcPr>
          <w:p>
            <w:r>
              <w:rPr>
                <w:b w:val="0"/>
                <w:i w:val="0"/>
              </w:rPr>
              <w:t>О</w:t>
            </w:r>
          </w:p>
        </w:tc>
        <w:tc>
          <w:tcPr>
            <w:tcW w:type="dxa" w:w="843"/>
          </w:tcPr>
          <w:p>
            <w:r>
              <w:rPr>
                <w:b w:val="0"/>
                <w:i w:val="0"/>
              </w:rPr>
              <w:t>К</w:t>
            </w:r>
          </w:p>
        </w:tc>
        <w:tc>
          <w:tcPr>
            <w:tcW w:type="dxa" w:w="843"/>
          </w:tcPr>
          <w:p>
            <w:r>
              <w:rPr>
                <w:b w:val="0"/>
                <w:i w:val="0"/>
              </w:rPr>
              <w:t>П|</w:t>
            </w:r>
          </w:p>
        </w:tc>
        <w:tc>
          <w:tcPr>
            <w:tcW w:type="dxa" w:w="843"/>
          </w:tcPr>
          <w:p/>
        </w:tc>
        <w:tc>
          <w:tcPr>
            <w:tcW w:type="dxa" w:w="843"/>
          </w:tcPr>
          <w:p/>
        </w:tc>
        <w:tc>
          <w:tcPr>
            <w:tcW w:type="dxa" w:w="843"/>
          </w:tcPr>
          <w:p/>
        </w:tc>
        <w:tc>
          <w:tcPr>
            <w:tcW w:type="dxa" w:w="843"/>
          </w:tcPr>
          <w:p/>
        </w:tc>
        <w:tc>
          <w:tcPr>
            <w:tcW w:type="dxa" w:w="843"/>
          </w:tcPr>
          <w:p/>
        </w:tc>
        <w:tc>
          <w:tcPr>
            <w:tcW w:type="dxa" w:w="843"/>
          </w:tcPr>
          <w:p/>
        </w:tc>
      </w:tr>
      <w:tr>
        <w:tc>
          <w:tcPr>
            <w:tcW w:type="dxa" w:w="843"/>
          </w:tcPr>
          <w:p/>
        </w:tc>
        <w:tc>
          <w:tcPr>
            <w:tcW w:type="dxa" w:w="843"/>
          </w:tcPr>
          <w:p>
            <w:r>
              <w:rPr>
                <w:b w:val="0"/>
                <w:i w:val="0"/>
              </w:rPr>
              <w:t>С|</w:t>
            </w:r>
          </w:p>
        </w:tc>
        <w:tc>
          <w:tcPr>
            <w:tcW w:type="dxa" w:w="843"/>
          </w:tcPr>
          <w:p>
            <w:r>
              <w:rPr>
                <w:b w:val="0"/>
                <w:i w:val="0"/>
              </w:rPr>
              <w:t>П|П|О</w:t>
            </w:r>
          </w:p>
        </w:tc>
        <w:tc>
          <w:tcPr>
            <w:tcW w:type="dxa" w:w="843"/>
          </w:tcPr>
          <w:p/>
        </w:tc>
        <w:tc>
          <w:tcPr>
            <w:tcW w:type="dxa" w:w="843"/>
          </w:tcPr>
          <w:p/>
        </w:tc>
        <w:tc>
          <w:tcPr>
            <w:tcW w:type="dxa" w:w="843"/>
          </w:tcPr>
          <w:p/>
        </w:tc>
        <w:tc>
          <w:tcPr>
            <w:tcW w:type="dxa" w:w="843"/>
          </w:tcPr>
          <w:p/>
        </w:tc>
        <w:tc>
          <w:tcPr>
            <w:tcW w:type="dxa" w:w="843"/>
          </w:tcPr>
          <w:p/>
        </w:tc>
        <w:tc>
          <w:tcPr>
            <w:tcW w:type="dxa" w:w="843"/>
          </w:tcPr>
          <w:p/>
        </w:tc>
        <w:tc>
          <w:tcPr>
            <w:tcW w:type="dxa" w:w="843"/>
          </w:tcPr>
          <w:p/>
        </w:tc>
        <w:tc>
          <w:tcPr>
            <w:tcW w:type="dxa" w:w="843"/>
          </w:tcPr>
          <w:p/>
        </w:tc>
        <w:tc>
          <w:tcPr>
            <w:tcW w:type="dxa" w:w="843"/>
          </w:tcPr>
          <w:p/>
        </w:tc>
      </w:tr>
    </w:tbl>
    <w:p/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При проведении рентгенологического метода исследования, наиболее информативным для диагностики патологии ВНЧС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обзорная рентгенограмма черепа в носо-подбородочной проекции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рентгенограмма по Парма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рентгенограмма нижней челюсти в тангенциальной проекции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обзорная рентгенограмма костей лицевого черепа в боковой проекции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рентгенограмма по Парма</w:t>
      </w:r>
    </w:p>
    <w:p>
      <w:pPr>
        <w:ind w:left="504"/>
      </w:pPr>
      <w:r>
        <w:rPr>
          <w:b w:val="0"/>
          <w:i/>
        </w:rPr>
        <w:t>Проведение рентгенограммы ВНЧС по Парма является доступным и информативным методом для первичной диагностики заболеваний ВНЧС. Данный метод позволяет оценить состояние костных компонентов ВНЧС (головка мыщелкового отростка, суставная ямка), положение головки мыщелкового отростка при открытом и закрытом рте.</w:t>
        <w:br/>
        <w:br/>
        <w:t>Хирургическая стоматология : национальное руководство / под ред. А. А. Кулакова. - Москва : ГЭОТАР-Медиа, 2021.</w:t>
        <w:br/>
        <w:br/>
      </w:r>
      <w:hyperlink r:id="rId20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Дифференциальную диагностику данного заболевания проводят 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переломом шейки мыщелкового отростка со смещением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артрозом ВНЧС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неспецифическим артритом ВНЧС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фиброзным анкилозом ВНЧС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переломом шейки мыщелкового отростка со смещением</w:t>
      </w:r>
    </w:p>
    <w:p>
      <w:pPr>
        <w:ind w:left="504"/>
      </w:pPr>
      <w:r>
        <w:rPr>
          <w:b w:val="0"/>
          <w:i/>
        </w:rPr>
        <w:t>При переломе в области шейки мыщелкового отростка происходит смещение большого фрагмента нижней челюсти книзу и кпереди, что клинически может быть схоже с острым передним вывихом нижней челюсти.</w:t>
        <w:br/>
        <w:br/>
        <w:t>Челюстно-лицевая хирургия / под ред. Кулакова А. А. - Москва : ГЭОТАР-Медиа, 2019. - 692 с. (Серия "Национальные руководства")</w:t>
        <w:br/>
        <w:br/>
      </w:r>
      <w:hyperlink r:id="rId2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На основании клинико-рентгенологических данных возможно поставить клинический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Двусторонний перелом нижней челюсти в области шейки мыщелковых отростков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Острый двусторонний передний вывих нижней челюсти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Хронический двусторонний передний вывих нижней челюсти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Острый двусторонний задний вывих нижней челюсти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Острый двусторонний передний вывих нижней челюсти</w:t>
      </w:r>
    </w:p>
    <w:p>
      <w:pPr>
        <w:ind w:left="504"/>
      </w:pPr>
      <w:r>
        <w:rPr>
          <w:b w:val="0"/>
          <w:i/>
        </w:rPr>
        <w:t>Диагноз поставлен на основании анамнеза (широкое открывание рта и дальнейшая невозможность закрыть рот), объективного осмотра (открытый рот, невозможность пропальпировать положение головок мыщелковых отростков).</w:t>
        <w:br/>
        <w:br/>
        <w:t>Челюстно-лицевая хирургия / под ред. Кулакова А. А. – Москва : ГЭОТАР-Медиа, 2019. – 692 с. (Серия «Национальные руководства»)</w:t>
        <w:br/>
        <w:br/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Причиной данного заболевания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употребление жесткой пищи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чрезмерно широкое открывание рта во время приема пищи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чрезмерные физические нагрузки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возможный прием пациентом препаратов стероидных гормонов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чрезмерно широкое открывание рта во время приема пищи</w:t>
      </w:r>
    </w:p>
    <w:p>
      <w:pPr>
        <w:ind w:left="504"/>
      </w:pPr>
      <w:r>
        <w:rPr>
          <w:b w:val="0"/>
          <w:i/>
        </w:rPr>
        <w:t>Чрезмерное напряжение мышц опускающих нижнюю челюсть спровоцировало смещение головок мыщелковых отростков кпереди от вершины суставного бугорка.</w:t>
        <w:br/>
        <w:br/>
        <w:t>Челюстно-лицевая хирургия / под ред. Кулакова А. А. - Москва : ГЭОТАР-Медиа, 2019. - 692 с. (Серия "Национальные руководства")</w:t>
        <w:br/>
        <w:br/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Данному пациенту показано лечение в качестве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остеосинтеза нижней челюсти с использованием титановых минипластин и минивинтов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вправления вывиха нижней челюсти по методу Гиппократа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иммобилизации челюстей при помощи индивидуальных проволочных шин и эластических тяг сроком на 30 дней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открытой артропластики ВНЧС с репонированием головки мыщелкового отростка и протезированием суставного диска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вправления вывиха нижней челюсти по методу Гиппократа</w:t>
      </w:r>
    </w:p>
    <w:p>
      <w:pPr>
        <w:ind w:left="504"/>
      </w:pPr>
      <w:r>
        <w:rPr>
          <w:b w:val="0"/>
          <w:i/>
        </w:rPr>
        <w:t>В качестве лечения, с целью вернуть головку мыщелкового отростка в правильное положение и обеспечить неподвижность нижней челюсти на срок 3-4 дня.</w:t>
        <w:br/>
        <w:br/>
        <w:t>Челюстно-лицевая хирургия / под ред. Кулакова А. А. - Москва : ГЭОТАР-Медиа, 2019. - 692 с. (Серия "Национальные руководства")</w:t>
        <w:br/>
        <w:br/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Перед проведением лечебных манипуляций показана анестезия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мандибулярная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туберальная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инфильтрационная в области ВНЧС с двух сторон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 методу Гоу-Гейтса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инфильтрационная в области ВНЧС с двух сторон</w:t>
      </w:r>
    </w:p>
    <w:p>
      <w:pPr>
        <w:ind w:left="504"/>
      </w:pPr>
      <w:r>
        <w:rPr>
          <w:b w:val="0"/>
          <w:i/>
        </w:rPr>
        <w:t>Введение анестезирующего вещества в мягкие ткани в области ВНЧС достаточно чтобы сделать процедуру вправления вывиха безболезненной. Проводится с двух сторон.</w:t>
        <w:br/>
        <w:br/>
        <w:t>Челюстно-лицевая хирургия / под ред. Кулакова А. А. – Москва : ГЭОТАР-Медиа, 2019. – 692 с. (Серия «Национальные руководства»)</w:t>
        <w:br/>
        <w:br/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После проведенного вмешательства пациенту необходимо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наложить круговую давящую повязку сроком на 2 недели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назначить курс антибактериальной и противовоспалительной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фиксировать прикус при помощи винтов для межчелюстной фиксации и эластических тяг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фиксировать нижнюю челюсти при помощи теменно-подбородочной пращи Померанцевой-Урбанской сроком на 3-4 дня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фиксировать нижнюю челюсти при помощи теменно-подбородочной пращи Померанцевой-Урбанской сроком на 3-4 дня</w:t>
      </w:r>
    </w:p>
    <w:p>
      <w:pPr>
        <w:ind w:left="504"/>
      </w:pPr>
      <w:r>
        <w:rPr>
          <w:b w:val="0"/>
          <w:i/>
        </w:rPr>
        <w:t>Данная манипуляция необходима для того, чтобы предотвратить рецидив вывиха нижней челюсти, так как связочный аппарат сустава ослаблен.</w:t>
        <w:br/>
        <w:br/>
        <w:t>Челюстно-лицевая хирургия / под ред. Кулакова А. А. - Москва : ГЭОТАР-Медиа, 2019. - 692 с. (Серия "Национальные руководства")</w:t>
        <w:br/>
        <w:br/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Пациенту в плане лечения рекомендуют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провести санацию полости рта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исключить широкое открывание рта на срок 1-1,5 недели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провести курс механотерапии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провести курс иглорефлексотерапии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исключить широкое открывание рта на срок 1-1,5 недели</w:t>
      </w:r>
    </w:p>
    <w:p>
      <w:pPr>
        <w:ind w:left="504"/>
      </w:pPr>
      <w:r>
        <w:rPr>
          <w:b w:val="0"/>
          <w:i/>
        </w:rPr>
        <w:t>Данный запрет необходим для того чтобы предотвратить повторный вывих нижней челюсти.</w:t>
        <w:br/>
        <w:br/>
        <w:t>Челюстно-лицевая хирургия / под ред. Кулакова А. А. - Москва : ГЭОТАР-Медиа, 2019. - 692 с. (Серия "Национальные руководства")</w:t>
        <w:br/>
        <w:br/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Через 3 дня от начала лечения пациенту следует назначить курс физиотерапии, включающий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амплипульстерапию – 10-12 сеансов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обработку низкочастотным лазером области ВНЧС с обеих сторон – 4-6 сеансов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местную озонотерапию – 12-14 сеансов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УВЧ-терапию или магнитотерапию – 6-8 сеансов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УВЧ-терапию или магнитотерапию – 6-8 сеансов</w:t>
      </w:r>
    </w:p>
    <w:p>
      <w:pPr>
        <w:ind w:left="504"/>
      </w:pPr>
      <w:r>
        <w:rPr>
          <w:b w:val="0"/>
          <w:i/>
        </w:rPr>
        <w:t>Данный курс физеотерапии позволит уменьшить отек мягких тканей, улучшить трофику и уменьшить болевой симптом.</w:t>
        <w:br/>
        <w:br/>
        <w:t>Челюстно-лицевая хирургия / под ред. Кулакова А. А. - Москва : ГЭОТАР-Медиа, 2019. - 692 с. (Серия "Национальные руководства")</w:t>
        <w:br/>
        <w:br/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Для укрепления связочного аппарата и восстановления мышечного тонуса пациенту нужно назначить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электростимуляцию жевательных мышц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введение в мышцы препарата ботулонического токсина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отказ от твердой пищи сроком до полугода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проведение общеукрепляющей лечебной физкультуры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электростимуляцию жевательных мышц</w:t>
      </w:r>
    </w:p>
    <w:p>
      <w:pPr>
        <w:ind w:left="504"/>
      </w:pPr>
      <w:r>
        <w:rPr>
          <w:b w:val="0"/>
          <w:i/>
        </w:rPr>
        <w:t>Данный метод лечения позволит укрепить мышечный аппарат ВНЧС и способствует снижению риска повторного вывиха нижней челюсти в дальнейшем.</w:t>
        <w:br/>
        <w:br/>
        <w:t>Челюстно-лицевая хирургия / под ред. Кулакова А. А. - Москва : ГЭОТАР-Медиа, 2019. - 692 с. (Серия "Национальные руководства")</w:t>
        <w:br/>
        <w:br/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Из лучевых методов диагностики при патологии ВНЧС наиболее информативным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ультразвуковое исследование ВНЧС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ортопантомограмма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компьютерная томография челюстно-лицевой области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обзорная рентгенограмма лицевого черепа в носо-лобной проекции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компьютерная томография челюстно-лицевой области</w:t>
      </w:r>
    </w:p>
    <w:p>
      <w:pPr>
        <w:ind w:left="504"/>
      </w:pPr>
      <w:r>
        <w:rPr>
          <w:b w:val="0"/>
          <w:i/>
        </w:rPr>
        <w:t>Является наиболее информативным методом в диагностике костных патологий челюстно-лицевой области. Позволяет определить точное положение мыщелковых отростков нижней челюсти и исключить вероятность переломов нижней челюсти.</w:t>
        <w:br/>
        <w:br/>
        <w:t>Челюстно-лицевая хирургия: учебник / под редакцией проф. Дробышева А.Ю., проф. Янушевича О.О. – М.: ГЭОТАР-Медиа, 2018 – глава 11. Травма челюстно-лицевой области, стр.: 399 – 502.</w:t>
        <w:br/>
        <w:br/>
      </w:r>
      <w:hyperlink r:id="rId30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Лечение пациентов с расстройствами височно-нижнечелюстного сустава и жевательных мышц / Трезубов В. Н. , Булычева Е. А. , Трезубов В. В. , Булычева Д. С. - Москва : ГЭОТАР-Медиа, 2021. - 96 с.</w:t>
        <w:br/>
        <w:br/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Вывихи нижней челюсти классифицируются 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передний, задний, двусторонний, односторонний, острый, хронический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передний, нижний, двусторонний, трехсторонний, острый, подострый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нижний, боковой, двусторонний, односторонний, острый, обострившийся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нижний, верхний, односторонний, трехсторонний, острый, хронический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передний, задний, двусторонний, односторонний, острый, хронический</w:t>
      </w:r>
    </w:p>
    <w:p>
      <w:pPr>
        <w:ind w:left="504"/>
      </w:pPr>
      <w:r>
        <w:rPr>
          <w:b w:val="0"/>
          <w:i/>
        </w:rPr>
        <w:t>В современной классификации вывихи подразделяют по направлению смещения (передний/задний), по количеству пораженных сторон (односторонний/двусторонний) и по остроте процесса (острый/хронический).</w:t>
        <w:br/>
        <w:br/>
        <w:t>Челюстно-лицевая хирургия / под ред. Кулакова А. А. - Москва : ГЭОТАР-Медиа, 2019. - 692 с. (Серия "Национальные руководства")</w:t>
        <w:br/>
        <w:br/>
      </w:r>
      <w:hyperlink r:id="rId23">
        <w:r>
          <w:rPr>
            <w:color w:val="173C49"/>
            <w:u w:val="single"/>
          </w:rPr>
          <w:t>(1)</w:t>
        </w:r>
      </w:hyperlink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Стоматология хирургическая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46 лет обратилась к врачу-стоматологу-хирургу.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сильное обнажение шеек зубов,</w:t>
      </w:r>
    </w:p>
    <w:p>
      <w:pPr>
        <w:spacing w:after="58"/>
      </w:pPr>
      <w:r>
        <w:rPr>
          <w:b w:val="0"/>
          <w:i w:val="0"/>
        </w:rPr>
        <w:t>* на эстетический недостаток.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Пациентка отмечает, что рецессия десны появилась впервые 10 лет назад и медленно прогрессирует. В течение последних двух лет было проведено пародонтологическое лечение.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Хронические соматические заболевания отрицает, аллергоанамнез не отягощен.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При осмотре слизистая десны на всем протяжении верхней и нижней челюстей бледно-розового цвета, несколько анемична, пародонтальные карманы не выявляются. Атрофия десневых сосочков в области жевательной группы зубов, рецессия десны с вестибулярной стороны в области 1.3-2.3, 4.1-4.5 зубов - III класс по Миллеру и IV класс в области 3.3, 3.2 зубов.  Протрузия 3.3, 4.3 зубов. На нижней челюсти в переднем отделе отмечается тонкий биотип, определяется рубец в области переходной складки 3.4-4.4 зубов, после проведенной вестибулопластики. При рентгенологическом обследовании – горизонтальный тип резорбции костной ткани: снижение высоты альвеолярных перегородок до 1/3 при сохранении плотности альвеолярного края челюсти, симметричность поражения</w:t>
      </w:r>
    </w:p>
    <w:p>
      <w:r>
        <w:drawing>
          <wp:inline xmlns:a="http://schemas.openxmlformats.org/drawingml/2006/main" xmlns:pic="http://schemas.openxmlformats.org/drawingml/2006/picture">
            <wp:extent cx="5303520" cy="3549046"/>
            <wp:docPr id="16" name="Picture 1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a4e4081b87aad30d91ff9c6108547bc9af4967ab.jp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549046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ведяева2_14.10_рис1.jpg</w:t>
      </w:r>
    </w:p>
    <w:p>
      <w:r>
        <w:drawing>
          <wp:inline xmlns:a="http://schemas.openxmlformats.org/drawingml/2006/main" xmlns:pic="http://schemas.openxmlformats.org/drawingml/2006/picture">
            <wp:extent cx="5303520" cy="3929392"/>
            <wp:docPr id="17" name="Picture 17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7cfe89ba0615b3c34a34fbec55c8caab4b635d3c.jp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92939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ведяева2_14.10_рис2.jpg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необходимым для постановки диагноза дополнительным методам обследования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конусно-лучевую компьютерную томографию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УЗИ-исследование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телерентгенографию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микробиологическое исследование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МРТ-исследование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конусно-лучевую компьютерную томографию; 3 — телерентгенографию</w:t>
      </w:r>
    </w:p>
    <w:p>
      <w:pPr>
        <w:ind w:left="504"/>
      </w:pPr>
      <w:r>
        <w:rPr>
          <w:b w:val="0"/>
          <w:i/>
        </w:rPr>
        <w:t>Рекомендовано расширить зону осмотра и оценить уровень скрытой рецессии, степень резорбции вестибулярной кортикальной костной пластины.</w:t>
        <w:br/>
        <w:br/>
        <w:t>Хирургическая стоматология : национальное руководство / под ред. А. А. Кулакова. - Москва : ГЭОТАР-Медиа, 2021.</w:t>
        <w:br/>
        <w:br/>
      </w:r>
      <w:hyperlink r:id="rId34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(2)</w:t>
        </w:r>
      </w:hyperlink>
    </w:p>
    <w:p>
      <w:pPr>
        <w:ind w:left="504"/>
      </w:pPr>
      <w:r>
        <w:rPr>
          <w:b w:val="0"/>
          <w:i/>
        </w:rPr>
        <w:t>Эта методика позволяет определить влияние положения челюстей относительно друг друга, положения зубов относительно челюстей, тип прикуса, патологии скелета в челюстно-лицевой области, наличие асимметрий на развитие рецессии десны. Спрогнозировать результат ортодонтического лечения, спланировать проведение хирургического вмешательства.</w:t>
        <w:br/>
        <w:br/>
        <w:t>Ортодонтия. Национальное руководство. В 2 т. Т. 1. Диагностика зубочелюстных аномалий / под ред. Л. С. Персина. – Москва : ГЭОТАР-Медиа, 2020. – 304 с. (Серия «Национальные руководства»)</w:t>
        <w:br/>
        <w:br/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К необходимым для постановки диагноза инструментальные методам обследования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мазок-отпечаток слизистой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измерение метрических параметров рецессии десны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фото протоколирование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функциональную диагностику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измерение метрических параметров рецессии десны</w:t>
      </w:r>
    </w:p>
    <w:p>
      <w:pPr>
        <w:ind w:left="504"/>
      </w:pPr>
      <w:r>
        <w:rPr>
          <w:b w:val="0"/>
          <w:i/>
        </w:rPr>
        <w:t>Перед хирургическим вмешательством определяли метрические показатели рецессии десны с помощью пародонтологического зонда и иглы со стоппером.</w:t>
        <w:br/>
        <w:br/>
        <w:t>Пародонтология / под ред. Янушевича О. О. , Дмитриевой Л. А. - Москва : ГЭОТАР-Медиа, 2018. - 752 с. (Серия "Национальные руководства")</w:t>
        <w:br/>
        <w:br/>
      </w:r>
      <w:hyperlink r:id="rId37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(3)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Предполагаемым основным диагнозом в данном случае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Хронический гингивит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Пародонтоз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Рецессия десны (генерализованная)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Локальная рецессия десны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Рецессия десны (генерализованная)</w:t>
      </w:r>
    </w:p>
    <w:p>
      <w:pPr>
        <w:ind w:left="504"/>
      </w:pPr>
      <w:r>
        <w:rPr>
          <w:b w:val="0"/>
          <w:i/>
        </w:rPr>
        <w:t>В области 1.4-2.4, 3.1, 3.3, 4.1, 4.3, 4.4 зубов определяется оголение поверхности корня, слизистая оболочка десен бледно-розового цвета, множественные клиновидные дефекты. При зондировании пародонтальные карманы и зубные отложения отсутствуют, в межпроксимальных областях убыль костной ткани отсутствует.</w:t>
        <w:br/>
        <w:br/>
        <w:t>Пародонтология / под ред. Янушевича О. О. , Дмитриевой Л. А. - Москва : ГЭОТАР-Медиа, 2018. - 752 с. (Серия "Национальные руководства")</w:t>
        <w:br/>
        <w:br/>
      </w:r>
      <w:hyperlink r:id="rId40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1">
        <w:r>
          <w:rPr>
            <w:color w:val="173C49"/>
            <w:u w:val="single"/>
          </w:rPr>
          <w:t>(2)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Пациенту показано +_____________+ лечение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ортопедическое (постоянное протезирование)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хирургическое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терапевтическое (пломбирование)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профилактическое (реминерализующая терапия)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хирургическое</w:t>
      </w:r>
    </w:p>
    <w:p>
      <w:pPr>
        <w:ind w:left="504"/>
      </w:pPr>
      <w:r>
        <w:rPr>
          <w:b w:val="0"/>
          <w:i/>
        </w:rPr>
        <w:t>Хирургическое вмешательство направлено на то, чтобы восполнить объём утраченных мягких тканей, создать новую зону прикрепления слизистой.</w:t>
        <w:br/>
        <w:br/>
        <w:t>Пародонтология / под ред. Янушевича О. О. , Дмитриевой Л. А. - Москва : ГЭОТАР-Медиа, 2018. - 752 с. (Серия "Национальные руководства")</w:t>
        <w:br/>
        <w:br/>
      </w:r>
      <w:hyperlink r:id="rId4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Хирургическим методом закрытия рецессий, который целесообразно использовать в данном случае,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комбинация слизистого коронарно смещённого лоскута и свободного соединительнотканного трансплаттата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метод перемещения подэпителиального соединительнотканного трансплантата под полностью расщеплённый и латерально смещенный лоскут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туннельный метод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комбинированный метод: коронарное смещение лоскута с поворотом десневых сосочков на верхней челюсти (по Zucchelli и De Sanctis (2000), туннельный метод на нижней челюсти (по Otto Zuhr (2007)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комбинированный метод: коронарное смещение лоскута с поворотом десневых сосочков на верхней челюсти (по Zucchelli и De Sanctis (2000), туннельный метод на нижней челюсти (по Otto Zuhr (2007)</w:t>
      </w:r>
    </w:p>
    <w:p>
      <w:pPr>
        <w:ind w:left="504"/>
      </w:pPr>
      <w:r>
        <w:rPr>
          <w:b w:val="0"/>
          <w:i/>
        </w:rPr>
        <w:t>Открытый способ позволяет полноценно провести сглаживание и биомодификацию поверхности корня на верхней челюсти ввиду наличия клиновидных дефектов. Двухслойный метод предполагает применение аутотрансплантата для аугментации мягких тканей в области рецессии.</w:t>
        <w:br/>
        <w:br/>
        <w:t>Хирургическая стоматология : национальное руководство / под ред. А. А. Кулакова. - Москва : ГЭОТАР-Медиа, 2021.</w:t>
        <w:br/>
        <w:br/>
      </w:r>
      <w:hyperlink r:id="rId43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4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t xml:space="preserve"> </w:t>
      </w:r>
      <w:hyperlink r:id="rId45">
        <w:r>
          <w:rPr>
            <w:color w:val="173C49"/>
            <w:u w:val="single"/>
          </w:rPr>
          <w:t>(3)</w:t>
        </w:r>
      </w:hyperlink>
      <w:r>
        <w:rPr>
          <w:b w:val="0"/>
          <w:i/>
        </w:rPr>
        <w:br/>
        <w:br/>
        <w:t>Пародонтология / под ред. Янушевича О. О. , Дмитриевой Л. А. - Москва : ГЭОТАР-Медиа, 2018. - 752 с. (Серия "Национальные руководства")</w:t>
        <w:br/>
        <w:br/>
      </w:r>
      <w:hyperlink r:id="rId46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На нижней челюсти ввиду тонкого биотипа, выраженной рецессии и сильной протрузии клыков, целесообразнее провести тоннельный метод аугментации соединительнотканным аутотрансплантатом без проведения косых разрезов в основании десневых сосочков, таким образом, не нарушая кровоснабжения со стороны сосочков.</w:t>
        <w:br/>
        <w:br/>
      </w:r>
      <w:hyperlink r:id="rId47">
        <w:r>
          <w:rPr>
            <w:color w:val="173C49"/>
            <w:u w:val="single"/>
          </w:rPr>
          <w:t>(4)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Материалом для аугментации мягких тканей, предпочтительным в данном случае,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мукографт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мукодерм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аллодерм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соединительнотканный аутотрансплантат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соединительнотканный аутотрансплантат</w:t>
      </w:r>
    </w:p>
    <w:p>
      <w:pPr>
        <w:ind w:left="504"/>
      </w:pPr>
      <w:r>
        <w:rPr>
          <w:b w:val="0"/>
          <w:i/>
        </w:rPr>
        <w:t>Пересадка собственных тканей, минимальный риск отторжения, меньшая степень усадки аутотрансплантата по сравнению с замещающими материалами.</w:t>
        <w:br/>
        <w:br/>
        <w:t>Терапевтическая стоматология : национальное руководство / под ред. Л. А. Дмитриевой, Ю. М. Максимовского. - 2-е изд., перераб. и доп. - Москва : ГЭОТАР-Медиа, 2021</w:t>
        <w:br/>
        <w:br/>
      </w:r>
      <w:hyperlink r:id="rId48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9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br/>
        <w:br/>
        <w:t>Пародонтология / под ред. Янушевича О. О. , Дмитриевой Л. А. - Москва : ГЭОТАР-Медиа, 2018. - 752 с. (Серия "Национальные руководства")</w:t>
        <w:br/>
        <w:br/>
      </w:r>
      <w:hyperlink r:id="rId5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К группе препаратов, обязательно применяемым в послеоперационном периоде,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муколитики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антибиотики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бронхолитики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ингибиторы протоновой помпы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антибиотики</w:t>
      </w:r>
    </w:p>
    <w:p>
      <w:pPr>
        <w:ind w:left="504"/>
      </w:pPr>
      <w:r>
        <w:rPr>
          <w:b w:val="0"/>
          <w:i/>
        </w:rPr>
        <w:t>В послеоперационном периоде есть риск развития инфекционных осложнений, в связи с чем, назначаются антибиотики широкого спектра действия.</w:t>
        <w:br/>
        <w:br/>
        <w:t>Принципы организации периоперационной антибиотикопрофилактики в учреждениях здравоохранения. Федеральные клинические рекомендации.</w:t>
        <w:br/>
        <w:t>«Национальная ассоциация специалистов по контролю инфекций, связанных с оказанием медицинской помощи» (НП «НАСКИ») 19.11.2014 (Протокол №6)</w:t>
        <w:br/>
        <w:br/>
        <w:t>Пародонтология / под ред. Янушевича О. О. , Дмитриевой Л. А. - Москва : ГЭОТАР-Медиа, 2018. - 752 с. (Серия "Национальные руководства")</w:t>
        <w:br/>
        <w:br/>
      </w:r>
      <w:hyperlink r:id="rId51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52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К ранним осложнениям вестибулопластики свободными трансплантатами с неба в области донорской зоны,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расхождение швов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некроз мягких тканей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кровотечение, гематому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отек мягких тканей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кровотечение, гематому</w:t>
      </w:r>
    </w:p>
    <w:p>
      <w:pPr>
        <w:ind w:left="504"/>
      </w:pPr>
      <w:r>
        <w:rPr>
          <w:b w:val="0"/>
          <w:i/>
        </w:rPr>
        <w:t>Небо является хорошо кровоснабжаемой донорской областью для забора мягких тканей, поэтому при планировании забора большого объема тканей дефект на небе закрывают гемостатической губкой, подшивая ее к краям дефекта. Поверх подшитой губки накладывают защитную капу, которую используют до полного заживления донорского участка.</w:t>
        <w:br/>
        <w:br/>
        <w:t>Хирургическая стоматология : национальное руководство / под ред. А. А. Кулакова. - Москва : ГЭОТАР-Медиа, 2021.</w:t>
        <w:br/>
        <w:br/>
      </w:r>
      <w:hyperlink r:id="rId53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54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t xml:space="preserve"> </w:t>
      </w:r>
      <w:hyperlink r:id="rId55">
        <w:r>
          <w:rPr>
            <w:color w:val="173C49"/>
            <w:u w:val="single"/>
          </w:rPr>
          <w:t>(3)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К факторам риска развития генерализованной рецессии десны у данной пациентки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патологию прикуса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воспалительные заболевания пародонта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неправильную чистку зубов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некариозные поражения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патологию прикуса</w:t>
      </w:r>
    </w:p>
    <w:p>
      <w:pPr>
        <w:ind w:left="504"/>
      </w:pPr>
      <w:r>
        <w:rPr>
          <w:b w:val="0"/>
          <w:i/>
        </w:rPr>
        <w:t>Нарушение окклюзионных взаимоотношений и положения зубов вызывает участки ишимизации пародонта, что приводит к резорбции кортикальной костной ткани и рецессии десны.</w:t>
        <w:br/>
        <w:br/>
        <w:t>Пародонтология / под ред. Янушевича О. О. , Дмитриевой Л. А. - Москва : ГЭОТАР-Медиа, 2018. - 752 с. (Серия "Национальные руководства")</w:t>
        <w:br/>
        <w:br/>
      </w:r>
      <w:hyperlink r:id="rId5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О стабильности полученного результата можно говорить на сроке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 месяц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 месяца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 год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14 дней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 год</w:t>
      </w:r>
    </w:p>
    <w:p>
      <w:pPr>
        <w:ind w:left="504"/>
      </w:pPr>
      <w:r>
        <w:rPr>
          <w:b w:val="0"/>
          <w:i/>
        </w:rPr>
        <w:t>Процессы ремоделирования мягких тканей десны в зоне аугментации протекают в среднем до полугода.</w:t>
        <w:br/>
        <w:br/>
        <w:t>Пародонтология / под ред. Янушевича О. О. , Дмитриевой Л. А. - Москва : ГЭОТАР-Медиа, 2018. - 752 с. (Серия "Национальные руководства")</w:t>
        <w:br/>
        <w:br/>
      </w:r>
      <w:hyperlink r:id="rId57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Методика пластики множественных рецессий десны по _Otto Zuhr_ заключается 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модифицированной микрохирургической туннельной технике для устранения множественных рецессий с применением соединительнотканного трансплантата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закрытии пересаженного в зону рецессии фрагмента соединительной ткани путем латерального смещения полнослойных лоскутов на ножке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коронковом смещении лоскута с поворотом десневых сосочков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двухэтапной операции – сначала проводится пластика свободным трансплантатом открытым способом, затем во время второй операции проводится коронарное смещение тканей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модифицированной микрохирургической туннельной технике для устранения множественных рецессий с применением соединительнотканного трансплантата</w:t>
      </w:r>
    </w:p>
    <w:p>
      <w:pPr>
        <w:ind w:left="504"/>
      </w:pPr>
      <w:r>
        <w:rPr>
          <w:b w:val="0"/>
          <w:i/>
        </w:rPr>
        <w:t>Автором разработана туннельная техника пластики множественных рецессий десны и предложен микрохирургический подход с применением специальных инструментов, также разработанных при участии автора.</w:t>
        <w:br/>
        <w:br/>
        <w:t>Пластическая и эстетическая хирургия в пародонтологии и имплантологии / О. Цур, М. Хюрцелер. – М.: «Азбука», 2014, С. 282-403.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Тактикой лечения при получении гипертрофированной слизистой после пластики рецессии десны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фотодинамическая терапия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0" name="Picture 3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проведение абразии слизистой (керамическим триммером, скальпелем)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повторная пластика десны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удаление зуба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проведение абразии слизистой (керамическим триммером, скальпелем)</w:t>
      </w:r>
    </w:p>
    <w:p>
      <w:pPr>
        <w:ind w:left="504"/>
      </w:pPr>
      <w:r>
        <w:rPr>
          <w:b w:val="0"/>
          <w:i/>
        </w:rPr>
        <w:t>Для достижения лучшего эстетического результата, выравнивания «десневого зенита».</w:t>
        <w:br/>
        <w:br/>
        <w:t>Пластическая и эстетическая хирургия в пародонтологии и имплантологии / О. Цур, М. Хюрцелер. – М.: «Азбука», 2014, С. 834-841.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Стоматология хирургическая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ISBN9785970460016/?anchor=paragraph_morqe4#paragraph_morqe4" TargetMode="External"/><Relationship Id="rId21" Type="http://schemas.openxmlformats.org/officeDocument/2006/relationships/image" Target="media/image5.png"/><Relationship Id="rId22" Type="http://schemas.openxmlformats.org/officeDocument/2006/relationships/hyperlink" Target="https://library.mededtech.ru/rest/documents/ISBN9785970448533/?anchor=paragraph_6l7225#paragraph_6l7225" TargetMode="External"/><Relationship Id="rId23" Type="http://schemas.openxmlformats.org/officeDocument/2006/relationships/hyperlink" Target="https://library.mededtech.ru/rest/documents/ISBN9785970448533/?anchor=paragraph_g5ib7r#paragraph_g5ib7r" TargetMode="External"/><Relationship Id="rId24" Type="http://schemas.openxmlformats.org/officeDocument/2006/relationships/hyperlink" Target="https://library.mededtech.ru/rest/documents/ISBN9785970448533/?anchor=paragraph_3b6480#paragraph_3b6480" TargetMode="External"/><Relationship Id="rId25" Type="http://schemas.openxmlformats.org/officeDocument/2006/relationships/hyperlink" Target="https://library.mededtech.ru/rest/documents/ISBN9785970448533/?anchor=paragraph_tkui3s#paragraph_tkui3s" TargetMode="External"/><Relationship Id="rId26" Type="http://schemas.openxmlformats.org/officeDocument/2006/relationships/image" Target="media/image6.png"/><Relationship Id="rId27" Type="http://schemas.openxmlformats.org/officeDocument/2006/relationships/hyperlink" Target="https://library.mededtech.ru/rest/documents/ISBN9785970448533/?anchor=paragraph_7vc3mg#paragraph_7vc3mg" TargetMode="External"/><Relationship Id="rId28" Type="http://schemas.openxmlformats.org/officeDocument/2006/relationships/image" Target="media/image7.png"/><Relationship Id="rId29" Type="http://schemas.openxmlformats.org/officeDocument/2006/relationships/hyperlink" Target="https://library.mededtech.ru/rest/documents/ISBN9785970448533/?anchor=paragraph_ms0ktu#paragraph_ms0ktu" TargetMode="External"/><Relationship Id="rId30" Type="http://schemas.openxmlformats.org/officeDocument/2006/relationships/hyperlink" Target="https://library.mededtech.ru/rest/documents/ISBN9785970440810/?anchor=paragraph_uu7v70#paragraph_uu7v70" TargetMode="External"/><Relationship Id="rId31" Type="http://schemas.openxmlformats.org/officeDocument/2006/relationships/hyperlink" Target="https://library.mededtech.ru/rest/documents/ISBN9785970461518/?anchor=paragraph_dbb68g#paragraph_dbb68g" TargetMode="External"/><Relationship Id="rId32" Type="http://schemas.openxmlformats.org/officeDocument/2006/relationships/image" Target="media/image8.jpg"/><Relationship Id="rId33" Type="http://schemas.openxmlformats.org/officeDocument/2006/relationships/image" Target="media/image9.jpg"/><Relationship Id="rId34" Type="http://schemas.openxmlformats.org/officeDocument/2006/relationships/hyperlink" Target="https://library.mededtech.ru/rest/documents/ISBN9785970460016/?anchor=paragraph_2o6s7v#paragraph_2o6s7v" TargetMode="External"/><Relationship Id="rId35" Type="http://schemas.openxmlformats.org/officeDocument/2006/relationships/hyperlink" Target="https://library.mededtech.ru/rest/documents/ISBN9785970460016/?anchor=paragraph_06f4ur#paragraph_06f4ur" TargetMode="External"/><Relationship Id="rId36" Type="http://schemas.openxmlformats.org/officeDocument/2006/relationships/hyperlink" Target="https://library.mededtech.ru/rest/documents/ISBN9785970454084/?anchor=paragraph_7iq2si#paragraph_7iq2si" TargetMode="External"/><Relationship Id="rId37" Type="http://schemas.openxmlformats.org/officeDocument/2006/relationships/hyperlink" Target="https://library.mededtech.ru/rest/documents/ISBN9785970443651/?anchor=paragraph_dv1i4o#paragraph_dv1i4o" TargetMode="External"/><Relationship Id="rId38" Type="http://schemas.openxmlformats.org/officeDocument/2006/relationships/hyperlink" Target="https://library.mededtech.ru/rest/documents/ISBN9785970443651/?anchor=paragraph_4rsvla#paragraph_4rsvla" TargetMode="External"/><Relationship Id="rId39" Type="http://schemas.openxmlformats.org/officeDocument/2006/relationships/hyperlink" Target="https://library.mededtech.ru/rest/documents/ISBN9785970443651/?anchor=paragraph_dea2a8#paragraph_dea2a8" TargetMode="External"/><Relationship Id="rId40" Type="http://schemas.openxmlformats.org/officeDocument/2006/relationships/hyperlink" Target="https://library.mededtech.ru/rest/documents/ISBN9785970443651/?anchor=paragraph_711t89#paragraph_711t89" TargetMode="External"/><Relationship Id="rId41" Type="http://schemas.openxmlformats.org/officeDocument/2006/relationships/hyperlink" Target="https://library.mededtech.ru/rest/documents/ISBN9785970443651/?anchor=paragraph_5gsseb#paragraph_5gsseb" TargetMode="External"/><Relationship Id="rId42" Type="http://schemas.openxmlformats.org/officeDocument/2006/relationships/hyperlink" Target="https://library.mededtech.ru/rest/documents/ISBN9785970443651/?anchor=paragraph_m16nnm#paragraph_m16nnm" TargetMode="External"/><Relationship Id="rId43" Type="http://schemas.openxmlformats.org/officeDocument/2006/relationships/hyperlink" Target="https://library.mededtech.ru/rest/documents/ISBN9785970460016/?anchor=paragraph_jj98o7#paragraph_jj98o7" TargetMode="External"/><Relationship Id="rId44" Type="http://schemas.openxmlformats.org/officeDocument/2006/relationships/hyperlink" Target="https://library.mededtech.ru/rest/documents/ISBN9785970460016/?anchor=paragraph_ggae57#paragraph_ggae57" TargetMode="External"/><Relationship Id="rId45" Type="http://schemas.openxmlformats.org/officeDocument/2006/relationships/hyperlink" Target="https://library.mededtech.ru/rest/documents/ISBN9785970460016/?anchor=paragraph_q7m5m1#paragraph_q7m5m1" TargetMode="External"/><Relationship Id="rId46" Type="http://schemas.openxmlformats.org/officeDocument/2006/relationships/hyperlink" Target="https://library.mededtech.ru/rest/documents/ISBN9785970443651/?anchor=paragraph_9rhnd2#paragraph_9rhnd2" TargetMode="External"/><Relationship Id="rId47" Type="http://schemas.openxmlformats.org/officeDocument/2006/relationships/hyperlink" Target="https://library.mededtech.ru/rest/documents/ISBN9785970460016/?anchor=paragraph_b0t1ae#paragraph_b0t1ae" TargetMode="External"/><Relationship Id="rId48" Type="http://schemas.openxmlformats.org/officeDocument/2006/relationships/hyperlink" Target="https://library.mededtech.ru/rest/documents/ISBN9785970460979/?anchor=paragraph_v0o4hc#paragraph_v0o4hc" TargetMode="External"/><Relationship Id="rId49" Type="http://schemas.openxmlformats.org/officeDocument/2006/relationships/hyperlink" Target="https://library.mededtech.ru/rest/documents/ISBN9785970460979/?anchor=paragraph_77i2h4#paragraph_77i2h4" TargetMode="External"/><Relationship Id="rId50" Type="http://schemas.openxmlformats.org/officeDocument/2006/relationships/hyperlink" Target="https://library.mededtech.ru/rest/documents/ISBN9785970443651/?anchor=paragraph_gt5u6c#paragraph_gt5u6c" TargetMode="External"/><Relationship Id="rId51" Type="http://schemas.openxmlformats.org/officeDocument/2006/relationships/hyperlink" Target="https://library.mededtech.ru/rest/documents/ISBN9785970443651/?anchor=paragraph_iq4c9m#paragraph_iq4c9m" TargetMode="External"/><Relationship Id="rId52" Type="http://schemas.openxmlformats.org/officeDocument/2006/relationships/hyperlink" Target="https://library.mededtech.ru/rest/documents/ISBN9785970443651/?anchor=list_item_uk0ukb#list_item_uk0ukb" TargetMode="External"/><Relationship Id="rId53" Type="http://schemas.openxmlformats.org/officeDocument/2006/relationships/hyperlink" Target="https://library.mededtech.ru/rest/documents/ISBN9785970460016/?anchor=paragraph_1j7u92#paragraph_1j7u92" TargetMode="External"/><Relationship Id="rId54" Type="http://schemas.openxmlformats.org/officeDocument/2006/relationships/hyperlink" Target="https://library.mededtech.ru/rest/documents/ISBN9785970460016/?anchor=paragraph_of4cn1#paragraph_of4cn1" TargetMode="External"/><Relationship Id="rId55" Type="http://schemas.openxmlformats.org/officeDocument/2006/relationships/hyperlink" Target="https://library.mededtech.ru/rest/documents/ISBN9785970460016/?anchor=paragraph_jev76r#paragraph_jev76r" TargetMode="External"/><Relationship Id="rId56" Type="http://schemas.openxmlformats.org/officeDocument/2006/relationships/hyperlink" Target="https://library.mededtech.ru/rest/documents/ISBN9785970443651/?anchor=paragraph_n2m61h#paragraph_n2m61h" TargetMode="External"/><Relationship Id="rId57" Type="http://schemas.openxmlformats.org/officeDocument/2006/relationships/hyperlink" Target="https://library.mededtech.ru/rest/documents/ISBN9785970443651/?anchor=paragraph_74rjm6#paragraph_74rjm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